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2E5258">
        <w:trPr>
          <w:jc w:val="center"/>
        </w:trPr>
        <w:tc>
          <w:tcPr>
            <w:tcW w:w="743" w:type="dxa"/>
          </w:tcPr>
          <w:p w:rsidR="0094424E" w:rsidRPr="002E5258" w:rsidRDefault="0094424E">
            <w:pPr>
              <w:jc w:val="both"/>
              <w:rPr>
                <w:rFonts w:ascii="Arial" w:hAnsi="Arial"/>
                <w:b/>
                <w:bCs/>
                <w:sz w:val="26"/>
                <w:szCs w:val="26"/>
              </w:rPr>
            </w:pPr>
            <w:bookmarkStart w:id="0" w:name="_GoBack"/>
            <w:bookmarkEnd w:id="0"/>
            <w:r>
              <w:rPr>
                <w:rtl/>
              </w:rPr>
              <w:t xml:space="preserve"> </w:t>
            </w:r>
            <w:r w:rsidR="00DA4E55" w:rsidRPr="002E5258">
              <w:rPr>
                <w:rFonts w:ascii="Arial" w:hAnsi="Arial" w:hint="cs"/>
                <w:b/>
                <w:bCs/>
                <w:sz w:val="26"/>
                <w:szCs w:val="26"/>
                <w:rtl/>
              </w:rPr>
              <w:t>ל</w:t>
            </w:r>
            <w:r w:rsidRPr="002E5258">
              <w:rPr>
                <w:rFonts w:ascii="Arial" w:hAnsi="Arial"/>
                <w:b/>
                <w:bCs/>
                <w:sz w:val="26"/>
                <w:szCs w:val="26"/>
                <w:rtl/>
              </w:rPr>
              <w:t xml:space="preserve">פני </w:t>
            </w:r>
          </w:p>
        </w:tc>
        <w:tc>
          <w:tcPr>
            <w:tcW w:w="8077" w:type="dxa"/>
            <w:gridSpan w:val="2"/>
          </w:tcPr>
          <w:p w:rsidR="0094424E" w:rsidRDefault="00A125FF" w:rsidP="009D7E8E">
            <w:pPr>
              <w:rPr>
                <w:rFonts w:ascii="Arial" w:hAnsi="Arial" w:cs="FrankRuehl"/>
                <w:sz w:val="26"/>
                <w:szCs w:val="26"/>
                <w:highlight w:val="yellow"/>
                <w:rtl/>
              </w:rPr>
            </w:pPr>
            <w:r>
              <w:rPr>
                <w:rFonts w:ascii="Arial" w:hAnsi="Arial" w:hint="cs"/>
                <w:b/>
                <w:bCs/>
                <w:sz w:val="26"/>
                <w:szCs w:val="26"/>
                <w:rtl/>
              </w:rPr>
              <w:t xml:space="preserve">כב' השופט </w:t>
            </w:r>
            <w:r w:rsidR="00750A27">
              <w:rPr>
                <w:rFonts w:ascii="Arial" w:hAnsi="Arial" w:hint="cs"/>
                <w:b/>
                <w:bCs/>
                <w:sz w:val="26"/>
                <w:szCs w:val="26"/>
                <w:rtl/>
              </w:rPr>
              <w:t>שאול שוחט</w:t>
            </w:r>
            <w:r>
              <w:rPr>
                <w:rFonts w:ascii="Arial" w:hAnsi="Arial" w:hint="cs"/>
                <w:b/>
                <w:bCs/>
                <w:sz w:val="26"/>
                <w:szCs w:val="26"/>
                <w:rtl/>
              </w:rPr>
              <w:t xml:space="preserve">, סגן </w:t>
            </w:r>
            <w:r w:rsidR="004F14F0" w:rsidRPr="002E5258">
              <w:rPr>
                <w:rFonts w:ascii="Arial" w:hAnsi="Arial" w:hint="cs"/>
                <w:b/>
                <w:bCs/>
                <w:sz w:val="26"/>
                <w:szCs w:val="26"/>
                <w:rtl/>
              </w:rPr>
              <w:t>נשיא</w:t>
            </w:r>
          </w:p>
          <w:p w:rsidR="00E90BA2" w:rsidRPr="002E5258" w:rsidRDefault="00E90BA2" w:rsidP="009D7E8E">
            <w:pPr>
              <w:rPr>
                <w:rFonts w:ascii="Arial" w:hAnsi="Arial" w:cs="FrankRuehl"/>
                <w:sz w:val="26"/>
                <w:szCs w:val="26"/>
                <w:highlight w:val="yellow"/>
              </w:rPr>
            </w:pPr>
          </w:p>
        </w:tc>
      </w:tr>
      <w:tr w:rsidR="0094424E" w:rsidRPr="002E5258">
        <w:trPr>
          <w:jc w:val="center"/>
        </w:trPr>
        <w:tc>
          <w:tcPr>
            <w:tcW w:w="3249" w:type="dxa"/>
            <w:gridSpan w:val="2"/>
          </w:tcPr>
          <w:p w:rsidR="0094424E" w:rsidRPr="002E5258" w:rsidRDefault="0094424E">
            <w:pPr>
              <w:bidi w:val="0"/>
              <w:jc w:val="right"/>
              <w:rPr>
                <w:rFonts w:ascii="Arial" w:hAnsi="Arial"/>
                <w:b/>
                <w:bCs/>
                <w:noProof w:val="0"/>
                <w:sz w:val="26"/>
                <w:szCs w:val="26"/>
              </w:rPr>
            </w:pPr>
          </w:p>
          <w:sdt>
            <w:sdtPr>
              <w:rPr>
                <w:sz w:val="26"/>
                <w:szCs w:val="26"/>
              </w:rPr>
              <w:alias w:val="1180"/>
              <w:tag w:val="1180"/>
              <w:id w:val="637458750"/>
              <w:text w:multiLine="1"/>
            </w:sdtPr>
            <w:sdtEndPr/>
            <w:sdtContent>
              <w:p w:rsidR="001555E8" w:rsidRDefault="008D7EA7">
                <w:pPr>
                  <w:bidi w:val="0"/>
                  <w:jc w:val="right"/>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94424E" w:rsidRPr="002E5258" w:rsidRDefault="0094424E">
            <w:pPr>
              <w:rPr>
                <w:rFonts w:ascii="Arial" w:hAnsi="Arial"/>
                <w:b/>
                <w:bCs/>
                <w:noProof w:val="0"/>
                <w:sz w:val="26"/>
                <w:szCs w:val="26"/>
                <w:rtl/>
              </w:rPr>
            </w:pPr>
          </w:p>
          <w:p w:rsidR="00740A8F" w:rsidRDefault="00D94AC9" w:rsidP="008D7EA7">
            <w:pPr>
              <w:rPr>
                <w:sz w:val="26"/>
                <w:szCs w:val="26"/>
                <w:rtl/>
              </w:rPr>
            </w:pPr>
            <w:sdt>
              <w:sdtPr>
                <w:rPr>
                  <w:sz w:val="26"/>
                  <w:szCs w:val="26"/>
                  <w:rtl/>
                </w:rPr>
                <w:alias w:val="1478"/>
                <w:tag w:val="1478"/>
                <w:id w:val="-2076122985"/>
                <w:text w:multiLine="1"/>
              </w:sdtPr>
              <w:sdtEndPr/>
              <w:sdtContent>
                <w:r w:rsidR="008D7EA7">
                  <w:rPr>
                    <w:rFonts w:ascii="Arial" w:hAnsi="Arial" w:hint="cs"/>
                    <w:b/>
                    <w:bCs/>
                    <w:noProof w:val="0"/>
                    <w:sz w:val="26"/>
                    <w:szCs w:val="26"/>
                    <w:rtl/>
                  </w:rPr>
                  <w:t>פלונית</w:t>
                </w:r>
              </w:sdtContent>
            </w:sdt>
          </w:p>
          <w:p w:rsidR="0094424E" w:rsidRPr="002E5258" w:rsidRDefault="008D7EA7">
            <w:pPr>
              <w:rPr>
                <w:b/>
                <w:bCs/>
                <w:noProof w:val="0"/>
                <w:sz w:val="26"/>
                <w:szCs w:val="26"/>
              </w:rPr>
            </w:pPr>
            <w:r>
              <w:rPr>
                <w:rFonts w:hint="cs"/>
                <w:sz w:val="26"/>
                <w:szCs w:val="26"/>
                <w:rtl/>
              </w:rPr>
              <w:t>ע"י ב"כ עו"ד אליעזר גריסרו</w:t>
            </w:r>
          </w:p>
        </w:tc>
      </w:tr>
      <w:tr w:rsidR="0094424E" w:rsidRPr="002E5258">
        <w:trPr>
          <w:jc w:val="center"/>
        </w:trPr>
        <w:tc>
          <w:tcPr>
            <w:tcW w:w="8820" w:type="dxa"/>
            <w:gridSpan w:val="3"/>
          </w:tcPr>
          <w:p w:rsidR="0094424E" w:rsidRPr="008D7EA7" w:rsidRDefault="0094424E">
            <w:pPr>
              <w:rPr>
                <w:rFonts w:ascii="Arial" w:hAnsi="Arial"/>
                <w:b/>
                <w:bCs/>
                <w:noProof w:val="0"/>
                <w:sz w:val="26"/>
                <w:szCs w:val="26"/>
                <w:rtl/>
              </w:rPr>
            </w:pPr>
          </w:p>
          <w:p w:rsidR="0094424E" w:rsidRPr="002E5258" w:rsidRDefault="0094424E">
            <w:pPr>
              <w:jc w:val="center"/>
              <w:rPr>
                <w:rFonts w:ascii="Arial" w:hAnsi="Arial"/>
                <w:b/>
                <w:bCs/>
                <w:noProof w:val="0"/>
                <w:sz w:val="26"/>
                <w:szCs w:val="26"/>
                <w:rtl/>
              </w:rPr>
            </w:pPr>
            <w:r w:rsidRPr="002E5258">
              <w:rPr>
                <w:rFonts w:ascii="Arial" w:hAnsi="Arial"/>
                <w:b/>
                <w:bCs/>
                <w:noProof w:val="0"/>
                <w:sz w:val="26"/>
                <w:szCs w:val="26"/>
                <w:rtl/>
              </w:rPr>
              <w:t>נגד</w:t>
            </w:r>
          </w:p>
          <w:p w:rsidR="0094424E" w:rsidRPr="002E5258" w:rsidRDefault="0094424E">
            <w:pPr>
              <w:rPr>
                <w:rFonts w:ascii="Arial" w:hAnsi="Arial"/>
                <w:b/>
                <w:bCs/>
                <w:noProof w:val="0"/>
                <w:sz w:val="26"/>
                <w:szCs w:val="26"/>
              </w:rPr>
            </w:pPr>
          </w:p>
        </w:tc>
      </w:tr>
      <w:tr w:rsidR="0094424E" w:rsidRPr="002E5258">
        <w:trPr>
          <w:jc w:val="center"/>
        </w:trPr>
        <w:tc>
          <w:tcPr>
            <w:tcW w:w="3249" w:type="dxa"/>
            <w:gridSpan w:val="2"/>
          </w:tcPr>
          <w:p w:rsidR="0094424E" w:rsidRPr="002E5258" w:rsidRDefault="0094424E">
            <w:pPr>
              <w:rPr>
                <w:rFonts w:ascii="Arial" w:hAnsi="Arial"/>
                <w:b/>
                <w:bCs/>
                <w:noProof w:val="0"/>
                <w:sz w:val="26"/>
                <w:szCs w:val="26"/>
                <w:rtl/>
              </w:rPr>
            </w:pPr>
          </w:p>
          <w:p w:rsidR="0094424E" w:rsidRPr="002E5258" w:rsidRDefault="00D94AC9">
            <w:pPr>
              <w:rPr>
                <w:rFonts w:ascii="Arial" w:hAnsi="Arial"/>
                <w:b/>
                <w:bCs/>
                <w:noProof w:val="0"/>
                <w:sz w:val="26"/>
                <w:szCs w:val="26"/>
              </w:rPr>
            </w:pPr>
            <w:sdt>
              <w:sdtPr>
                <w:rPr>
                  <w:sz w:val="26"/>
                  <w:szCs w:val="26"/>
                  <w:rtl/>
                </w:rPr>
                <w:alias w:val="1184"/>
                <w:tag w:val="1184"/>
                <w:id w:val="-340621022"/>
                <w:text w:multiLine="1"/>
              </w:sdtPr>
              <w:sdtEndPr/>
              <w:sdtContent>
                <w:r w:rsidR="00750A27">
                  <w:rPr>
                    <w:rFonts w:ascii="Arial" w:hAnsi="Arial"/>
                    <w:b/>
                    <w:bCs/>
                    <w:noProof w:val="0"/>
                    <w:sz w:val="26"/>
                    <w:szCs w:val="26"/>
                    <w:rtl/>
                  </w:rPr>
                  <w:t>משיבים</w:t>
                </w:r>
              </w:sdtContent>
            </w:sdt>
          </w:p>
        </w:tc>
        <w:tc>
          <w:tcPr>
            <w:tcW w:w="5571" w:type="dxa"/>
          </w:tcPr>
          <w:p w:rsidR="0094424E" w:rsidRPr="002E5258" w:rsidRDefault="0094424E">
            <w:pPr>
              <w:rPr>
                <w:rFonts w:ascii="Arial" w:hAnsi="Arial"/>
                <w:b/>
                <w:bCs/>
                <w:noProof w:val="0"/>
                <w:sz w:val="26"/>
                <w:szCs w:val="26"/>
                <w:rtl/>
              </w:rPr>
            </w:pPr>
          </w:p>
          <w:p w:rsidR="00740A8F" w:rsidRDefault="00D94AC9" w:rsidP="008D7EA7">
            <w:pPr>
              <w:rPr>
                <w:sz w:val="26"/>
                <w:szCs w:val="26"/>
                <w:rtl/>
              </w:rPr>
            </w:pPr>
            <w:sdt>
              <w:sdtPr>
                <w:rPr>
                  <w:sz w:val="26"/>
                  <w:szCs w:val="26"/>
                  <w:rtl/>
                </w:rPr>
                <w:alias w:val="1486"/>
                <w:tag w:val="1486"/>
                <w:id w:val="-309872140"/>
                <w:text w:multiLine="1"/>
              </w:sdtPr>
              <w:sdtEndPr/>
              <w:sdtContent>
                <w:r w:rsidR="008D7EA7">
                  <w:rPr>
                    <w:rFonts w:ascii="Arial" w:hAnsi="Arial" w:hint="cs"/>
                    <w:b/>
                    <w:bCs/>
                    <w:noProof w:val="0"/>
                    <w:sz w:val="26"/>
                    <w:szCs w:val="26"/>
                    <w:rtl/>
                  </w:rPr>
                  <w:t>פלוני</w:t>
                </w:r>
              </w:sdtContent>
            </w:sdt>
          </w:p>
          <w:p w:rsidR="0094424E" w:rsidRPr="002E5258" w:rsidRDefault="008D7EA7">
            <w:pPr>
              <w:rPr>
                <w:b/>
                <w:bCs/>
                <w:noProof w:val="0"/>
                <w:sz w:val="26"/>
                <w:szCs w:val="26"/>
                <w:rtl/>
              </w:rPr>
            </w:pPr>
            <w:r>
              <w:rPr>
                <w:rFonts w:hint="cs"/>
                <w:sz w:val="26"/>
                <w:szCs w:val="26"/>
                <w:rtl/>
              </w:rPr>
              <w:t>ע"י ב"כ עו"ד עינת גורביץ</w:t>
            </w:r>
          </w:p>
        </w:tc>
      </w:tr>
    </w:tbl>
    <w:p w:rsidR="00E31C2B" w:rsidRPr="00E31C2B" w:rsidRDefault="00E31C2B" w:rsidP="006D3B31">
      <w:pPr>
        <w:suppressLineNumbers/>
        <w:rPr>
          <w:rtl/>
        </w:rPr>
      </w:pPr>
    </w:p>
    <w:p w:rsidR="00E31C2B" w:rsidRDefault="00E31C2B"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8D7EA7" w:rsidRDefault="008D7EA7" w:rsidP="008D7EA7">
      <w:pPr>
        <w:spacing w:line="360" w:lineRule="auto"/>
        <w:jc w:val="both"/>
        <w:rPr>
          <w:rFonts w:ascii="David" w:hAnsi="David"/>
          <w:rtl/>
        </w:rPr>
      </w:pPr>
      <w:r>
        <w:rPr>
          <w:rFonts w:ascii="David" w:hAnsi="David"/>
          <w:rtl/>
        </w:rPr>
        <w:t>בקשת רשות ערעור על החלטת בית המשפט לענייני משפחה במחוז תל-אביב (כב' השופטת איריס איליטוביץ סגל, בתלה"מ 17035-12-11) , מיום 19.7.23</w:t>
      </w:r>
      <w:r w:rsidR="003505AD">
        <w:rPr>
          <w:rFonts w:ascii="David" w:hAnsi="David" w:hint="cs"/>
          <w:rtl/>
        </w:rPr>
        <w:t>,</w:t>
      </w:r>
      <w:r>
        <w:rPr>
          <w:rFonts w:ascii="David" w:hAnsi="David"/>
          <w:rtl/>
        </w:rPr>
        <w:t xml:space="preserve"> בבקשת המבקשת למתן הוראות למומחה מטעם ביהמ"ש.</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b/>
          <w:bCs/>
          <w:u w:val="single"/>
          <w:rtl/>
        </w:rPr>
      </w:pPr>
      <w:r>
        <w:rPr>
          <w:rFonts w:ascii="David" w:hAnsi="David"/>
          <w:b/>
          <w:bCs/>
          <w:u w:val="single"/>
          <w:rtl/>
        </w:rPr>
        <w:t>העובדות הצריכות לעניין</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 xml:space="preserve">הצדדים הם בני זוג לשעבר שמנהלים הליכים משפטיים משנת 2021, אחד מאותם הליכים הוא הליך רכושי ( תלה"מ 17035-12-21). במסגרת ההליך הרכושי עתרה המבקשת למינוי מומחה מטעם ביהמ"ש לצורך שומת מלוא הרכוש, הזכויות והחובות של הצדדים. ביום 16.2.22 מינה ביהמ"ש קמא, בהסכמת הצדדים, את רו"ח אבי יחזקאל כמומחה מטעם ביהמ"ש (להלן: </w:t>
      </w:r>
      <w:r>
        <w:rPr>
          <w:rFonts w:ascii="David" w:hAnsi="David"/>
          <w:b/>
          <w:bCs/>
          <w:rtl/>
        </w:rPr>
        <w:t>המומחה</w:t>
      </w:r>
      <w:r>
        <w:rPr>
          <w:rFonts w:ascii="David" w:hAnsi="David"/>
          <w:rtl/>
        </w:rPr>
        <w:t>) וקבע את תכולת עבודתו.  בין השאר קבע ביהמ"ש קמא כי המומחה יבדוק את הטענה בנוגע לפערי ההשתכרות שבין הצדדים וכן טענת המשיב בנוגע להכנסות המבקשת מעסק מסוים.</w:t>
      </w:r>
    </w:p>
    <w:p w:rsidR="008D7EA7" w:rsidRDefault="008D7EA7" w:rsidP="008D7EA7">
      <w:pPr>
        <w:spacing w:line="360" w:lineRule="auto"/>
        <w:jc w:val="both"/>
        <w:rPr>
          <w:rFonts w:ascii="David" w:hAnsi="David"/>
          <w:rtl/>
        </w:rPr>
      </w:pPr>
    </w:p>
    <w:p w:rsidR="008D7EA7" w:rsidRDefault="008D7EA7" w:rsidP="003505AD">
      <w:pPr>
        <w:spacing w:line="360" w:lineRule="auto"/>
        <w:jc w:val="both"/>
        <w:rPr>
          <w:rFonts w:ascii="David" w:hAnsi="David"/>
          <w:rtl/>
        </w:rPr>
      </w:pPr>
      <w:r>
        <w:rPr>
          <w:rFonts w:ascii="David" w:hAnsi="David"/>
          <w:rtl/>
        </w:rPr>
        <w:t xml:space="preserve">לאחר שהוגשה חוו"ד שלחה המבקשת למומחה שאלות הבהרה והוא השיב להן. יצוין </w:t>
      </w:r>
      <w:r w:rsidR="003505AD">
        <w:rPr>
          <w:rFonts w:ascii="David" w:hAnsi="David" w:hint="cs"/>
          <w:rtl/>
        </w:rPr>
        <w:t xml:space="preserve">- </w:t>
      </w:r>
      <w:r>
        <w:rPr>
          <w:rFonts w:ascii="David" w:hAnsi="David"/>
          <w:rtl/>
        </w:rPr>
        <w:t xml:space="preserve">במסגרת שאלות ההבהרה ביקשה המבקשת כי המומחה יבצע תחשיבים אחרים מאלו שביצע בחווה"ד ( כך לדוגמא,  לגבי קביעת שכרה, ביקשה שיציג תחשיב נוסף של שכרה בתקופת הנישואין ללא הכנסות שמקורן בעסק; לגבי הכנסת המשיב ביקשה שהכנסתו תחושב תוך התייחסות להכנסות נוספות שלטענתה היה מקבל באופן לא סדיר; באשר להפרשי השתכרות ביקשה כי המומחה יציג תחשיב לפיצוי של פערי השתכרות לתקופה  של עד היציאה לגמלאות ולא 4 שנים). המומחה בתשובותיו נימק </w:t>
      </w:r>
      <w:r>
        <w:rPr>
          <w:rFonts w:ascii="David" w:hAnsi="David"/>
          <w:rtl/>
        </w:rPr>
        <w:lastRenderedPageBreak/>
        <w:t>מדוע קבע את שקבע בחוו"ד באותם עניינים. בנוסף, במסגרת אחת משאלות ההבהרה ביקשה כי המומחה יחווה את דעתו אם הלוואה מסוימת שנלקחה בשנת 2020 , לטענתה "</w:t>
      </w:r>
      <w:r>
        <w:rPr>
          <w:rFonts w:ascii="David" w:hAnsi="David"/>
          <w:b/>
          <w:bCs/>
          <w:rtl/>
        </w:rPr>
        <w:t>במחשכים, ללא ידיעתה ו/או הסכמתה</w:t>
      </w:r>
      <w:r>
        <w:rPr>
          <w:rFonts w:ascii="David" w:hAnsi="David"/>
          <w:rtl/>
        </w:rPr>
        <w:t>" הייתה "</w:t>
      </w:r>
      <w:r>
        <w:rPr>
          <w:rFonts w:ascii="David" w:hAnsi="David"/>
          <w:b/>
          <w:bCs/>
          <w:rtl/>
        </w:rPr>
        <w:t>ספקולטיבית, ובלתי אחראית וזאת בהתייחס לאופי ההשקעה, שיעורה והשפעה על מצבו הכלכלי של התא המשפחתי"</w:t>
      </w:r>
      <w:r>
        <w:rPr>
          <w:rFonts w:ascii="David" w:hAnsi="David"/>
          <w:rtl/>
        </w:rPr>
        <w:t xml:space="preserve">. המומחה השיב לשאלה זו כי המשיב טען שהמבקשת הייתה שותפה מלאה בזמן אמת להחלטה למתן </w:t>
      </w:r>
      <w:r>
        <w:rPr>
          <w:rFonts w:ascii="David" w:hAnsi="David"/>
          <w:b/>
          <w:bCs/>
          <w:rtl/>
        </w:rPr>
        <w:t>ההלוואה "ואין באפשרותי להכריע בטענות הסותרות של הצדדים, ובכל מקרה אין באפשרותי לגרוע הלוואות מאיזון המשאבים ללא החלטה מתאימה של כב' ביהמ"ש</w:t>
      </w:r>
      <w:r>
        <w:rPr>
          <w:rFonts w:ascii="David" w:hAnsi="David"/>
          <w:rtl/>
        </w:rPr>
        <w:t>".</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בעקבות תשובת המומחה לשאלות ההבהרה פנתה המבקשת לביהמ"ש קמא בבקשה למתן הוראות למומחה , במסגרתה עתרה כי ביהמ"ש קמא יורה למומחה להציג את אותם תחשיבים נוספים שהיא ביקשה ממנו לבצע וכן יבדוק האם אותה הלוואה ו/או השקעה מדוברת הייתה ספקולטיבית, בלתי אחראית וזאת בהתבסס לאופייה, שיעורה, והשפעתה על מצבו הכלכלי של התא המשפחתי.</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b/>
          <w:bCs/>
          <w:rtl/>
        </w:rPr>
      </w:pPr>
      <w:r>
        <w:rPr>
          <w:rFonts w:ascii="David" w:hAnsi="David"/>
          <w:rtl/>
        </w:rPr>
        <w:t xml:space="preserve">ביום 19.7.23, לאחר קבלת תגובת המשיב לבקשת המבקש, דחה ביהמ"ש קמא את הבקשה בהחלטה כדלקמן: </w:t>
      </w:r>
      <w:r>
        <w:rPr>
          <w:rFonts w:ascii="David" w:hAnsi="David"/>
          <w:b/>
          <w:bCs/>
          <w:rtl/>
        </w:rPr>
        <w:t>"לפניי בקשה למתן הוראות למומחה. ככל שלמבקשת הסתייגויות כלפי ממצאי ומסקנות חוות דעת המומחה, עליה לפעול על פי הוראות תקנה 25 לתקנות בית משפט לענייני משפחה (סדרי דין), התשפ"א-2020."</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על החלטה זו מלינה המבקשת בבקשת רשות הערעור שלפניי. עיקר טענות המבקשת: היא פעלה כמצוות תקנה 25(ה) לתקנות בית המשפט לענייני משפחה (סדרי דין), התשפ"א -2020 והגישה שאלות הבהרה למומחה; "</w:t>
      </w:r>
      <w:r>
        <w:rPr>
          <w:rFonts w:ascii="David" w:hAnsi="David"/>
          <w:b/>
          <w:bCs/>
          <w:rtl/>
        </w:rPr>
        <w:t xml:space="preserve">הואיל והמומחה טעם בתשובותיו כי אין באפשרותו להשיב לשאלות ההבהרה ללא החלטה מתאימה של בית משפט קמא הנכבד, והואיל ואי היענותו של המומחה להשיב על שאלות ההבהרה שנשלחו אליו מונעים מבית משפט קמא הנכבד את האפשרות לברר בירור יסודי וראוי את השאלות שבמומחיות שבמחלוקת בין הצדדים, לא הייתה כל הצדקה לדחיית בקשת המבקשת להרחבת סמכויות המומחה בחוות דעתו" </w:t>
      </w:r>
      <w:r>
        <w:rPr>
          <w:rFonts w:ascii="David" w:hAnsi="David"/>
          <w:rtl/>
        </w:rPr>
        <w:t>(ס' 41 לבר"ע). כמו כן מציינת המבקשת כי למשיב לא ייגרם כל נזק מהרחבת סמכויות המומחה בחוות דעתו (ס' 47 לבר"ע).</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b/>
          <w:bCs/>
          <w:u w:val="single"/>
          <w:rtl/>
        </w:rPr>
      </w:pPr>
      <w:r>
        <w:rPr>
          <w:rFonts w:ascii="David" w:hAnsi="David"/>
          <w:b/>
          <w:bCs/>
          <w:u w:val="single"/>
          <w:rtl/>
        </w:rPr>
        <w:t>דיון והכרעה</w:t>
      </w:r>
    </w:p>
    <w:p w:rsidR="008D7EA7" w:rsidRDefault="008D7EA7" w:rsidP="008D7EA7">
      <w:pPr>
        <w:spacing w:line="360" w:lineRule="auto"/>
        <w:jc w:val="both"/>
        <w:rPr>
          <w:rFonts w:ascii="David" w:hAnsi="David"/>
          <w:rtl/>
        </w:rPr>
      </w:pPr>
      <w:r>
        <w:rPr>
          <w:rFonts w:ascii="David" w:hAnsi="David"/>
          <w:rtl/>
        </w:rPr>
        <w:t>לאחר עיון בבקשת רשות הערעור ובנספחיה מצאתי לדחותה ללא צורך בקבלת תשובה. להלן אפרט את נימוקיי.</w:t>
      </w:r>
    </w:p>
    <w:p w:rsidR="008D7EA7" w:rsidRDefault="008D7EA7" w:rsidP="008D7EA7">
      <w:pPr>
        <w:spacing w:line="360" w:lineRule="auto"/>
        <w:jc w:val="both"/>
        <w:rPr>
          <w:rFonts w:ascii="David" w:hAnsi="David"/>
          <w:b/>
          <w:bCs/>
          <w:rtl/>
        </w:rPr>
      </w:pPr>
      <w:r>
        <w:rPr>
          <w:rFonts w:ascii="David" w:hAnsi="David"/>
          <w:u w:val="single"/>
          <w:rtl/>
        </w:rPr>
        <w:t>ראשית,</w:t>
      </w:r>
      <w:r>
        <w:rPr>
          <w:rFonts w:ascii="David" w:hAnsi="David"/>
          <w:rtl/>
        </w:rPr>
        <w:t xml:space="preserve"> הטענה העובדתית של המבקשת לפיה המומחה טען בתשובותיו כי אין באפשרותו להשיב לשאלות ההבהרה ללא החלטה מתאימה של בית המשפט קמא אינה מדויקת. עיון בתשובת המומחה מיום 22.6.23  לשאלות ההבהרה (בהמשך לנספח ו' לבר"ע) מעלה כי המומחה השיב לכל שאלות ההבהרה שהפנתה אליו המבקשת. במסגרת שאלות ההבהרה טענה המבקשת כי על המומחה היה לבסס את ממצאיו על עניינים כאלו ואחרים והמומחה השיב לשאלותיה ונימק מדוע ביסס את קביעותיו על מה שביסס. ודוק! בעצם טענת המבקשת כי על ביהמ"ש קמא היה להיעתר לבקשתה "</w:t>
      </w:r>
      <w:r>
        <w:rPr>
          <w:rFonts w:ascii="David" w:hAnsi="David"/>
          <w:b/>
          <w:bCs/>
          <w:rtl/>
        </w:rPr>
        <w:t>להרחבת סמכויות המומחה בחוות דעתו</w:t>
      </w:r>
      <w:r>
        <w:rPr>
          <w:rFonts w:ascii="David" w:hAnsi="David"/>
          <w:rtl/>
        </w:rPr>
        <w:t>" משתמע כי גם המבקשת הבינה כי אין עסקינן בשאלה שהמומחה נשאל והוא לא השיב לה אלא בבקשה מצדה כי המומחה יבצע גם תחשיבים נוספים, למצער חלופיים, לפי עמדתה שלה שלא התקבלה על-ידו במסגרת חוות דעתו. בשום מקום בתכולת עבודתו של המומחה לא נקבע כי עליו להתעלם מהלוואה ו/או השקעה מסוימת במסגרת האיזון שיערוך ובעניין אחרון זה (שאלת ההבהרה מטעם המבקשת שהופנתה למומחה במכתב מיום 6.6.23) בצדק רב קבע המומחה כי אין הוא אמור להכריע בטענות הסותרות של הצדדים בדבר היותה של המבקשת שותפה לאותה הלוואה ו/או השקעה "ו"</w:t>
      </w:r>
      <w:r>
        <w:rPr>
          <w:rFonts w:ascii="David" w:hAnsi="David"/>
          <w:b/>
          <w:bCs/>
          <w:rtl/>
        </w:rPr>
        <w:t>אין באפשרותי לגרוע הלוואות מאיזון המשאבים ללא החלטה מתאימה של כב' ביהמ"ש".</w:t>
      </w:r>
    </w:p>
    <w:p w:rsidR="008D7EA7" w:rsidRDefault="008D7EA7" w:rsidP="008D7EA7">
      <w:pPr>
        <w:spacing w:line="360" w:lineRule="auto"/>
        <w:jc w:val="both"/>
        <w:rPr>
          <w:rFonts w:ascii="David" w:hAnsi="David"/>
          <w:b/>
          <w:bCs/>
          <w:rtl/>
        </w:rPr>
      </w:pPr>
    </w:p>
    <w:p w:rsidR="008D7EA7" w:rsidRDefault="008D7EA7" w:rsidP="008D7EA7">
      <w:pPr>
        <w:spacing w:line="360" w:lineRule="auto"/>
        <w:jc w:val="both"/>
        <w:rPr>
          <w:rFonts w:ascii="David" w:hAnsi="David"/>
          <w:rtl/>
        </w:rPr>
      </w:pPr>
      <w:r>
        <w:rPr>
          <w:rFonts w:ascii="David" w:hAnsi="David"/>
          <w:u w:val="single"/>
          <w:rtl/>
        </w:rPr>
        <w:t>שנית,</w:t>
      </w:r>
      <w:r>
        <w:rPr>
          <w:rFonts w:ascii="David" w:hAnsi="David"/>
          <w:rtl/>
        </w:rPr>
        <w:t xml:space="preserve"> ביהמ"ש קמא בהחלטתו מושא הבר"ע לא סתם את הגולל על האפשרות שבהמשך ההליך שלפניו יידרש לתת למומחה הוראות להשלים את חוות דעתו בעניינים מסוימים. נראה שהמבקשת לא ירדה לסוף דעתו של ביהמ"ש קמא שציין בהחלטתו  כי על המבקשת לפעול על פי הוראות תקנה 25 לתקנות בית המשפט לענייני משפחה (סדרי דין), התשפ"א-2020. המבקשת טוענת חזור ושוב בבקשת רשות הערעור שלפניי כי פעלה כמצוות התקנה עת שלחה למומחה שאלות הבהרה בהתאם להוראת סעיף 25(ה) לתקנות. ברם, תקנה 25(ה) לתקנות אינה תקנת המשנה היחידה בתקנה. קיימת גם תקנה 25(ו) שקובעת את המנגנון לזימון המומחה להיחקר על חוות דעתו, ונראה כי ביהמ"ש קמא בהחלטתו מושא הבר"ע ביקש להפנות את המבקשת לאפשרות זו. המשיב בעצמו, בתשובתו לבקשת המבקשת למתן הוראות למומחה ציין מפורשות כי "</w:t>
      </w:r>
      <w:r>
        <w:rPr>
          <w:rFonts w:ascii="David" w:hAnsi="David"/>
          <w:b/>
          <w:bCs/>
          <w:rtl/>
        </w:rPr>
        <w:t>המחוקק קבע מפורשות כיצד יכול בעל דין "לתקוף" את חוות דעת מומחה בענייני משפחה. לאחר משלוח שאלות הבהרה בעל הדין יזמן את המומחה לחקירה</w:t>
      </w:r>
      <w:r>
        <w:rPr>
          <w:rFonts w:ascii="David" w:hAnsi="David"/>
          <w:rtl/>
        </w:rPr>
        <w:t>" (ס' 4 לתשובה). בנוסף, בעקבות ההחלטה מושא הבר"ע פנתה המבקשת לביהמ"ש קמא בבקשה לעיון מחדש בהחלטה במסגרתה ציינה כי כבר שלחה שאלות הבהרה למומחה בהתאם להוראות תקנה 25(ב) לתקנות . בהחלטה מיום 31.7.23 דחה ביהמ"ש קמא את בקשת המבקשת לעיון מחדש תוך שהבהיר כי היה ער לעובדה שהמבקשת שלחה שאלות הבהרה למומחה אך "</w:t>
      </w:r>
      <w:r>
        <w:rPr>
          <w:rFonts w:ascii="David" w:hAnsi="David"/>
          <w:b/>
          <w:bCs/>
          <w:rtl/>
        </w:rPr>
        <w:t xml:space="preserve">כידוע, תקנה 25 לתקנות בית משפט לענייני משפחה (סדרי דין), התשפ"א-2020 כוללת הוראות נוספות מלבד ההוראה העוסקת באפשרות לשליחת שאלות הבהרה למומחה". </w:t>
      </w:r>
      <w:r>
        <w:rPr>
          <w:rFonts w:ascii="David" w:hAnsi="David"/>
          <w:rtl/>
        </w:rPr>
        <w:t>למותר לציין כי בבקשת רשות הערעור שלפניי המבקשת לא התייחסה כלל לאפשרות הקבועה בידה לבקש לזמן את המומחה לחקירה לצורך עימותו על ממצאיו ובמסגרת זו לשכנע את ביהמ"ש קמא כי חוות הדעת נדרשת תיקונים והשלמות (שיכול ויידרשו ע"י בביהמ"ש קמא, אם בכלל,  בעקבות גילויים שיתגלו בהמשך במסגרת הליך ההוכחות, שטרם החל בענייננו).</w:t>
      </w:r>
    </w:p>
    <w:p w:rsidR="008D7EA7" w:rsidRDefault="008D7EA7" w:rsidP="008D7EA7">
      <w:pPr>
        <w:spacing w:line="360" w:lineRule="auto"/>
        <w:jc w:val="both"/>
        <w:rPr>
          <w:rFonts w:ascii="David" w:hAnsi="David"/>
          <w:b/>
          <w:bCs/>
          <w:rtl/>
        </w:rPr>
      </w:pPr>
    </w:p>
    <w:p w:rsidR="008D7EA7" w:rsidRDefault="008D7EA7" w:rsidP="008D7EA7">
      <w:pPr>
        <w:spacing w:line="360" w:lineRule="auto"/>
        <w:jc w:val="both"/>
        <w:rPr>
          <w:rFonts w:ascii="David" w:hAnsi="David"/>
          <w:b/>
          <w:bCs/>
          <w:u w:val="single"/>
          <w:rtl/>
        </w:rPr>
      </w:pPr>
    </w:p>
    <w:p w:rsidR="008D7EA7" w:rsidRDefault="008D7EA7" w:rsidP="008D7EA7">
      <w:pPr>
        <w:spacing w:line="360" w:lineRule="auto"/>
        <w:jc w:val="both"/>
        <w:rPr>
          <w:rFonts w:ascii="David" w:hAnsi="David"/>
          <w:b/>
          <w:bCs/>
          <w:u w:val="single"/>
          <w:rtl/>
        </w:rPr>
      </w:pPr>
      <w:r>
        <w:rPr>
          <w:rFonts w:ascii="David" w:hAnsi="David"/>
          <w:b/>
          <w:bCs/>
          <w:u w:val="single"/>
          <w:rtl/>
        </w:rPr>
        <w:t>סוף דבר</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בקשת רשות הערעור נדחית.</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משלא התבקשה תשובה – אין צו להוצאות.</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העירבון, על פירותיו, יוחזר למבקשת באמצעות בא כוחה.</w:t>
      </w:r>
    </w:p>
    <w:p w:rsidR="008D7EA7" w:rsidRDefault="008D7EA7" w:rsidP="008D7EA7">
      <w:pPr>
        <w:spacing w:line="360" w:lineRule="auto"/>
        <w:jc w:val="both"/>
        <w:rPr>
          <w:rFonts w:ascii="David" w:hAnsi="David"/>
          <w:rtl/>
        </w:rPr>
      </w:pPr>
    </w:p>
    <w:p w:rsidR="008D7EA7" w:rsidRDefault="008D7EA7" w:rsidP="008D7EA7">
      <w:pPr>
        <w:spacing w:line="360" w:lineRule="auto"/>
        <w:jc w:val="both"/>
        <w:rPr>
          <w:rFonts w:ascii="David" w:hAnsi="David"/>
          <w:rtl/>
        </w:rPr>
      </w:pPr>
      <w:r>
        <w:rPr>
          <w:rFonts w:ascii="David" w:hAnsi="David"/>
          <w:rtl/>
        </w:rPr>
        <w:t>מתיר פרסום ההחלטה במתכונת בה נחתמה, בהיעדר שמות הצדדים ופרטים מזהים אחרים.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ל'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17 אוגוסט 2023</w:t>
          </w:r>
        </w:sdtContent>
      </w:sdt>
      <w:r w:rsidR="00005C8B">
        <w:rPr>
          <w:rFonts w:ascii="Arial" w:hAnsi="Arial"/>
          <w:noProof w:val="0"/>
          <w:rtl/>
        </w:rPr>
        <w:t>, בהעדר הצדדים.</w:t>
      </w:r>
    </w:p>
    <w:p w:rsidR="00C43648" w:rsidRDefault="00D94AC9" w:rsidP="00C43648">
      <w:pPr>
        <w:tabs>
          <w:tab w:val="left" w:pos="2553"/>
        </w:tabs>
        <w:ind w:left="5040"/>
        <w:rPr>
          <w:rtl/>
        </w:rPr>
      </w:pPr>
      <w:sdt>
        <w:sdtPr>
          <w:rPr>
            <w:rFonts w:hint="cs"/>
            <w:rtl/>
          </w:rPr>
          <w:alias w:val="2045"/>
          <w:tag w:val="2045"/>
          <w:id w:val="740689340"/>
          <w:placeholder>
            <w:docPart w:val="31A2FECC5BD94B898A0F6A0393D81C94"/>
          </w:placeholder>
          <w:showingPlcHdr/>
          <w:text w:multiLine="1"/>
        </w:sdtPr>
        <w:sdtEndPr/>
        <w:sdtContent>
          <w:r w:rsidR="00C43648">
            <w:rPr>
              <w:rFonts w:hint="cs"/>
              <w:rtl/>
            </w:rPr>
            <w:t xml:space="preserve">     </w:t>
          </w:r>
        </w:sdtContent>
      </w:sdt>
    </w:p>
    <w:p w:rsidR="00694556" w:rsidRDefault="00D94AC9" w:rsidP="00C43648">
      <w:pPr>
        <w:tabs>
          <w:tab w:val="left" w:pos="2553"/>
        </w:tabs>
        <w:ind w:left="5040"/>
      </w:pPr>
      <w:sdt>
        <w:sdtPr>
          <w:rPr>
            <w:rtl/>
          </w:rPr>
          <w:alias w:val="MergeField"/>
          <w:tag w:val="1237"/>
          <w:id w:val="209086002"/>
        </w:sdtPr>
        <w:sdtEndPr/>
        <w:sdtContent>
          <w:r w:rsidR="0090434B">
            <w:drawing>
              <wp:inline distT="0" distB="0" distL="0" distR="0" wp14:editId="50D07946">
                <wp:extent cx="1755648" cy="4434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755648" cy="443484"/>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9"/>
      <w:footerReference w:type="default" r:id="rId10"/>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160" w:rsidRDefault="00C47160">
      <w:r>
        <w:separator/>
      </w:r>
    </w:p>
  </w:endnote>
  <w:endnote w:type="continuationSeparator" w:id="0">
    <w:p w:rsidR="00C47160" w:rsidRDefault="00C47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94AC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94AC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160" w:rsidRDefault="00C47160">
      <w:r>
        <w:separator/>
      </w:r>
    </w:p>
  </w:footnote>
  <w:footnote w:type="continuationSeparator" w:id="0">
    <w:p w:rsidR="00C47160" w:rsidRDefault="00C47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18B72344" wp14:editId="44D094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b/>
            <w:bCs/>
            <w:color w:val="000080"/>
            <w:sz w:val="32"/>
            <w:szCs w:val="32"/>
            <w:rtl/>
          </w:rPr>
          <w:alias w:val="1174"/>
          <w:tag w:val="1174"/>
          <w:id w:val="-1585920285"/>
          <w:text w:multiLine="1"/>
        </w:sdtPr>
        <w:sdtEndPr/>
        <w:sdtContent>
          <w:tc>
            <w:tcPr>
              <w:tcW w:w="8721" w:type="dxa"/>
              <w:gridSpan w:val="2"/>
            </w:tcPr>
            <w:p w:rsidR="00694556" w:rsidRPr="002E5258" w:rsidRDefault="003D1C8C" w:rsidP="003230C7">
              <w:pPr>
                <w:pStyle w:val="a3"/>
                <w:jc w:val="center"/>
                <w:rPr>
                  <w:rFonts w:ascii="Tahoma" w:hAnsi="Tahoma"/>
                  <w:noProof w:val="0"/>
                  <w:color w:val="000080"/>
                  <w:sz w:val="32"/>
                  <w:szCs w:val="32"/>
                  <w:rtl/>
                </w:rPr>
              </w:pPr>
              <w:r w:rsidRPr="002E5258">
                <w:rPr>
                  <w:rFonts w:ascii="Tahoma" w:hAnsi="Tahoma"/>
                  <w:b/>
                  <w:bCs/>
                  <w:color w:val="000080"/>
                  <w:sz w:val="32"/>
                  <w:szCs w:val="32"/>
                  <w:rtl/>
                </w:rPr>
                <w:t>בית המשפט המחוזי בתל אביב -יפו</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D94AC9" w:rsidP="008D7EA7">
          <w:pPr>
            <w:rPr>
              <w:b/>
              <w:bCs/>
              <w:noProof w:val="0"/>
              <w:sz w:val="26"/>
              <w:szCs w:val="26"/>
              <w:rtl/>
            </w:rPr>
          </w:pPr>
          <w:sdt>
            <w:sdtPr>
              <w:rPr>
                <w:rtl/>
              </w:rPr>
              <w:alias w:val="1170"/>
              <w:tag w:val="1170"/>
              <w:id w:val="1066377040"/>
              <w:text w:multiLine="1"/>
            </w:sdtPr>
            <w:sdtEndPr/>
            <w:sdtContent>
              <w:r w:rsidR="00750A27">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750A27">
                <w:rPr>
                  <w:b/>
                  <w:bCs/>
                  <w:noProof w:val="0"/>
                  <w:sz w:val="26"/>
                  <w:szCs w:val="26"/>
                  <w:rtl/>
                </w:rPr>
                <w:t>27878-08-23</w:t>
              </w:r>
            </w:sdtContent>
          </w:sdt>
          <w:r w:rsidR="00005C8B">
            <w:rPr>
              <w:b/>
              <w:bCs/>
              <w:noProof w:val="0"/>
              <w:sz w:val="26"/>
              <w:szCs w:val="26"/>
              <w:rtl/>
            </w:rPr>
            <w:t xml:space="preserve"> </w:t>
          </w:r>
          <w:sdt>
            <w:sdtPr>
              <w:rPr>
                <w:rtl/>
              </w:rPr>
              <w:alias w:val="1172"/>
              <w:tag w:val="1172"/>
              <w:id w:val="-595170033"/>
              <w:text w:multiLine="1"/>
            </w:sdtPr>
            <w:sdtEndPr/>
            <w:sdtContent>
              <w:r w:rsidR="008D7EA7">
                <w:rPr>
                  <w:rFonts w:hint="cs"/>
                  <w:b/>
                  <w:bCs/>
                  <w:noProof w:val="0"/>
                  <w:sz w:val="26"/>
                  <w:szCs w:val="26"/>
                  <w:rtl/>
                </w:rPr>
                <w:t>פלונית נ' פלוני</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51619777"/>
              <w:text w:multiLine="1"/>
            </w:sdtPr>
            <w:sdtEndPr/>
            <w:sdtContent/>
          </w:sdt>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1283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12838&amp;lt;/CaseID&amp;gt;_x000d__x000a_        &amp;lt;CaseMonth&amp;gt;8&amp;lt;/CaseMonth&amp;gt;_x000d__x000a_        &amp;lt;CaseYear&amp;gt;2023&amp;lt;/CaseYear&amp;gt;_x000d__x000a_        &amp;lt;CaseNumber&amp;gt;27878&amp;lt;/CaseNumber&amp;gt;_x000d__x000a_        &amp;lt;NumeratorGroupID&amp;gt;1&amp;lt;/NumeratorGroupID&amp;gt;_x000d__x000a_        &amp;lt;CaseName&amp;gt;גדליהו נ&amp;#39; גדליהו&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7878-08-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8-10T11:5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יק  ניר  עם עותק כרוך של הבר.ע  מועבר  ללשכה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12838&amp;lt;/CaseID&amp;gt;_x000d__x000a_        &amp;lt;CaseMonth&amp;gt;8&amp;lt;/CaseMonth&amp;gt;_x000d__x000a_        &amp;lt;CaseYear&amp;gt;2023&amp;lt;/CaseYear&amp;gt;_x000d__x000a_        &amp;lt;CaseNumber&amp;gt;27878&amp;lt;/CaseNumber&amp;gt;_x000d__x000a_        &amp;lt;NumeratorGroupID&amp;gt;1&amp;lt;/NumeratorGroupID&amp;gt;_x000d__x000a_        &amp;lt;CaseName&amp;gt;גדליהו נ&amp;#39; גדליהו&amp;lt;/CaseName&amp;gt;_x000d__x000a_        &amp;lt;CourtID&amp;gt;15&amp;lt;/CourtID&amp;gt;_x000d__x000a_        &amp;lt;CaseTypeID&amp;gt;10074&amp;lt;/CaseTypeID&amp;gt;_x000d__x000a_        &amp;lt;CaseInterestID&amp;gt;101&amp;lt;/CaseInterestID&amp;gt;_x000d__x000a_        &amp;lt;CaseJudgeName&amp;gt;שאול שוחט&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7878-08-23&amp;lt;/CaseDisplayIdentifier&amp;gt;_x000d__x000a_        &amp;lt;CaseTypeDesc&amp;gt;רמ&amp;quot;ש&amp;lt;/CaseTypeDesc&amp;gt;_x000d__x000a_        &amp;lt;CourtDesc&amp;gt;המחוזי תל אביב - יפו&amp;lt;/CourtDesc&amp;gt;_x000d__x000a_        &amp;lt;CaseStageDesc&amp;gt;תיק אלקטרוני&amp;lt;/CaseStageDesc&amp;gt;_x000d__x000a_        &amp;lt;CaseNextDeterminingTask&amp;gt;140&amp;lt;/CaseNextDeterminingTask&amp;gt;_x000d__x000a_        &amp;lt;CaseOpenDate&amp;gt;2023-08-10T11:53: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שאול&amp;lt;/CaseJudgeFirstName&amp;gt;_x000d__x000a_        &amp;lt;CaseJudgeLastName&amp;gt;שוחט&amp;lt;/CaseJudgeLastName&amp;gt;_x000d__x000a_        &amp;lt;JudicalPersonID&amp;gt;053515011@GOV.IL&amp;lt;/JudicalPersonID&amp;gt;_x000d__x000a_        &amp;lt;IsJudicalPanel&amp;gt;false&amp;lt;/IsJudicalPanel&amp;gt;_x000d__x000a_        &amp;lt;CourtDisplayName&amp;gt;בית המשפט המחוזי בתל אביב -יפו&amp;lt;/CourtDisplayName&amp;gt;_x000d__x000a_        &amp;lt;IsAllStartDataCollected&amp;gt;true&amp;lt;/IsAllStartDataCollected&amp;gt;_x000d__x000a_        &amp;lt;IsMainCase&amp;gt;true&amp;lt;/IsMainCase&amp;gt;_x000d__x000a_        &amp;lt;CaseDesc&amp;gt;תיק  ניר  עם עותק כרוך של הבר.ע  מועבר  ללשכה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6751799&amp;lt;/DecisionID&amp;gt;_x000d__x000a_        &amp;lt;DecisionName&amp;gt;החלטה  שניתנה ע&amp;quot;י  שאול שוחט&amp;lt;/DecisionName&amp;gt;_x000d__x000a_        &amp;lt;DecisionStatusID&amp;gt;1&amp;lt;/DecisionStatusID&amp;gt;_x000d__x000a_        &amp;lt;DecisionStatusChangeDate&amp;gt;2023-08-17T15:37:45.097+03:00&amp;lt;/DecisionStatusChangeDate&amp;gt;_x000d__x000a_        &amp;lt;DecisionSignatureDate&amp;gt;2023-08-17T15:37:44.133+03:00&amp;lt;/DecisionSignatureDate&amp;gt;_x000d__x000a_        &amp;lt;DecisionSignatureUserID&amp;gt;053515011@GOV.IL&amp;lt;/DecisionSignatureUserID&amp;gt;_x000d__x000a_        &amp;lt;DecisionCreateDate&amp;gt;2023-08-17T15:37:45.15+03:00&amp;lt;/DecisionCreateDate&amp;gt;_x000d__x000a_        &amp;lt;DecisionChangeDate&amp;gt;2023-08-17T15:37:45.257+03:00&amp;lt;/DecisionChangeDate&amp;gt;_x000d__x000a_        &amp;lt;DecisionChangeUserID&amp;gt;04085913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1962847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351501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9134@GOV.IL&amp;lt;/DecisionCreationUserID&amp;gt;_x000d__x000a_        &amp;lt;DecisionDisplayName&amp;gt;החלטה  שניתנה ע&amp;quot;י  שאול שוחט&amp;lt;/DecisionDisplayName&amp;gt;_x000d__x000a_        &amp;lt;IsScanned&amp;gt;false&amp;lt;/IsScanned&amp;gt;_x000d__x000a_        &amp;lt;DecisionSignatureUserName&amp;gt;שאול שוח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46751799&amp;lt;/DecisionID&amp;gt;_x000d__x000a_        &amp;lt;CaseID&amp;gt;80512838&amp;lt;/CaseID&amp;gt;_x000d__x000a_        &amp;lt;IsOriginal&amp;gt;true&amp;lt;/IsOriginal&amp;gt;_x000d__x000a_        &amp;lt;IsDeleted&amp;gt;false&amp;lt;/IsDeleted&amp;gt;_x000d__x000a_        &amp;lt;CaseName&amp;gt;גדליהו נ&amp;#39; גדליהו&amp;lt;/CaseName&amp;gt;_x000d__x000a_        &amp;lt;CaseDisplayIdentifier&amp;gt;27878-08-23 רמ&amp;quot;ש&amp;lt;/CaseDisplayIdentifier&amp;gt;_x000d__x000a_      &amp;lt;/dt_DecisionCase&amp;gt;_x000d__x000a_    &amp;lt;/DecisionDS&amp;gt;_x000d__x000a_  &amp;lt;/diffgr:diffgram&amp;gt;_x000d__x000a_&amp;lt;/DecisionDS&amp;gt;"/>
    <w:docVar w:name="DecisionID" w:val="146751799"/>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6AF7"/>
    <w:rsid w:val="000B344B"/>
    <w:rsid w:val="000C3B0F"/>
    <w:rsid w:val="000C3B60"/>
    <w:rsid w:val="000E3AF1"/>
    <w:rsid w:val="000F0BC8"/>
    <w:rsid w:val="000F0DD6"/>
    <w:rsid w:val="00107E6D"/>
    <w:rsid w:val="0011194C"/>
    <w:rsid w:val="0011424C"/>
    <w:rsid w:val="001367BC"/>
    <w:rsid w:val="00144D2A"/>
    <w:rsid w:val="0014653E"/>
    <w:rsid w:val="001555E8"/>
    <w:rsid w:val="00180519"/>
    <w:rsid w:val="00191C82"/>
    <w:rsid w:val="001C4003"/>
    <w:rsid w:val="001D4DBF"/>
    <w:rsid w:val="001E75CA"/>
    <w:rsid w:val="002265FF"/>
    <w:rsid w:val="002450EA"/>
    <w:rsid w:val="002C344E"/>
    <w:rsid w:val="002E5258"/>
    <w:rsid w:val="00307A6A"/>
    <w:rsid w:val="00307C40"/>
    <w:rsid w:val="00320433"/>
    <w:rsid w:val="003230C7"/>
    <w:rsid w:val="00327CB2"/>
    <w:rsid w:val="00327E50"/>
    <w:rsid w:val="0033597A"/>
    <w:rsid w:val="003505AD"/>
    <w:rsid w:val="00362612"/>
    <w:rsid w:val="0036743F"/>
    <w:rsid w:val="003715DD"/>
    <w:rsid w:val="003823E0"/>
    <w:rsid w:val="003A4521"/>
    <w:rsid w:val="003D1C8C"/>
    <w:rsid w:val="0040096C"/>
    <w:rsid w:val="00414E8F"/>
    <w:rsid w:val="00414F1F"/>
    <w:rsid w:val="0043125D"/>
    <w:rsid w:val="0043502B"/>
    <w:rsid w:val="004443AC"/>
    <w:rsid w:val="004C4BDF"/>
    <w:rsid w:val="004D1187"/>
    <w:rsid w:val="004E1987"/>
    <w:rsid w:val="004E2E15"/>
    <w:rsid w:val="004E4BA7"/>
    <w:rsid w:val="004E6E3C"/>
    <w:rsid w:val="004F14F0"/>
    <w:rsid w:val="00516604"/>
    <w:rsid w:val="00520898"/>
    <w:rsid w:val="00524986"/>
    <w:rsid w:val="005268F6"/>
    <w:rsid w:val="00547DB7"/>
    <w:rsid w:val="005F4F09"/>
    <w:rsid w:val="0061431B"/>
    <w:rsid w:val="00622BAA"/>
    <w:rsid w:val="006306CF"/>
    <w:rsid w:val="00644E9A"/>
    <w:rsid w:val="00671BD5"/>
    <w:rsid w:val="006805C1"/>
    <w:rsid w:val="00686C21"/>
    <w:rsid w:val="006931C1"/>
    <w:rsid w:val="00694556"/>
    <w:rsid w:val="006D3B31"/>
    <w:rsid w:val="006E1A53"/>
    <w:rsid w:val="006F678A"/>
    <w:rsid w:val="00704EDA"/>
    <w:rsid w:val="00721122"/>
    <w:rsid w:val="00740A8F"/>
    <w:rsid w:val="00750A27"/>
    <w:rsid w:val="00753019"/>
    <w:rsid w:val="00795365"/>
    <w:rsid w:val="007E6115"/>
    <w:rsid w:val="007F4609"/>
    <w:rsid w:val="008026ED"/>
    <w:rsid w:val="008176A1"/>
    <w:rsid w:val="00820005"/>
    <w:rsid w:val="00844318"/>
    <w:rsid w:val="00870890"/>
    <w:rsid w:val="00873602"/>
    <w:rsid w:val="00875D12"/>
    <w:rsid w:val="00896889"/>
    <w:rsid w:val="008C5714"/>
    <w:rsid w:val="008D10B2"/>
    <w:rsid w:val="008D7EA7"/>
    <w:rsid w:val="00903896"/>
    <w:rsid w:val="0090434B"/>
    <w:rsid w:val="00906F3D"/>
    <w:rsid w:val="0094424E"/>
    <w:rsid w:val="009605B3"/>
    <w:rsid w:val="009622DF"/>
    <w:rsid w:val="00967DFF"/>
    <w:rsid w:val="00994341"/>
    <w:rsid w:val="009A376F"/>
    <w:rsid w:val="009D7E8E"/>
    <w:rsid w:val="009F323C"/>
    <w:rsid w:val="00A125FF"/>
    <w:rsid w:val="00A3392B"/>
    <w:rsid w:val="00A40B04"/>
    <w:rsid w:val="00A94B64"/>
    <w:rsid w:val="00AA3229"/>
    <w:rsid w:val="00AA7596"/>
    <w:rsid w:val="00AB5E52"/>
    <w:rsid w:val="00AC3B02"/>
    <w:rsid w:val="00AC3B7B"/>
    <w:rsid w:val="00AC5209"/>
    <w:rsid w:val="00AD3AD9"/>
    <w:rsid w:val="00AE7752"/>
    <w:rsid w:val="00AF7FDA"/>
    <w:rsid w:val="00B80CBD"/>
    <w:rsid w:val="00B86096"/>
    <w:rsid w:val="00BA517C"/>
    <w:rsid w:val="00BB3D05"/>
    <w:rsid w:val="00BB73BE"/>
    <w:rsid w:val="00BE05B2"/>
    <w:rsid w:val="00BF1908"/>
    <w:rsid w:val="00C22D93"/>
    <w:rsid w:val="00C31120"/>
    <w:rsid w:val="00C34482"/>
    <w:rsid w:val="00C43648"/>
    <w:rsid w:val="00C47160"/>
    <w:rsid w:val="00C50A9F"/>
    <w:rsid w:val="00C642FA"/>
    <w:rsid w:val="00C83000"/>
    <w:rsid w:val="00CC7622"/>
    <w:rsid w:val="00D27982"/>
    <w:rsid w:val="00D33B86"/>
    <w:rsid w:val="00D53924"/>
    <w:rsid w:val="00D55D0C"/>
    <w:rsid w:val="00D94AC9"/>
    <w:rsid w:val="00D96D8C"/>
    <w:rsid w:val="00DA4E55"/>
    <w:rsid w:val="00DA6649"/>
    <w:rsid w:val="00DC1259"/>
    <w:rsid w:val="00DC2571"/>
    <w:rsid w:val="00DC487C"/>
    <w:rsid w:val="00DE6BF6"/>
    <w:rsid w:val="00E25884"/>
    <w:rsid w:val="00E31C2B"/>
    <w:rsid w:val="00E5426A"/>
    <w:rsid w:val="00E54642"/>
    <w:rsid w:val="00E90BA2"/>
    <w:rsid w:val="00EC37E9"/>
    <w:rsid w:val="00EE32E3"/>
    <w:rsid w:val="00F06995"/>
    <w:rsid w:val="00F13623"/>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0226F806-1D90-4F9F-AABD-DA8A6FA1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6925471">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2FECC5BD94B898A0F6A0393D81C94"/>
        <w:category>
          <w:name w:val="כללי"/>
          <w:gallery w:val="placeholder"/>
        </w:category>
        <w:types>
          <w:type w:val="bbPlcHdr"/>
        </w:types>
        <w:behaviors>
          <w:behavior w:val="content"/>
        </w:behaviors>
        <w:guid w:val="{F817939E-5B5E-4A2E-A7DD-7791232255C3}"/>
      </w:docPartPr>
      <w:docPartBody>
        <w:p w:rsidR="005C53BE" w:rsidRDefault="00B23F44" w:rsidP="00B23F44">
          <w:pPr>
            <w:pStyle w:val="31A2FECC5BD94B898A0F6A0393D81C94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1A370D"/>
    <w:rsid w:val="00410E40"/>
    <w:rsid w:val="005C53BE"/>
    <w:rsid w:val="008A1B90"/>
    <w:rsid w:val="008D3D74"/>
    <w:rsid w:val="009133C7"/>
    <w:rsid w:val="00924F53"/>
    <w:rsid w:val="00AA7CE3"/>
    <w:rsid w:val="00B23F44"/>
    <w:rsid w:val="00CB2C2C"/>
    <w:rsid w:val="00CD521E"/>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23F4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A9C035BE3F0141FA8388CF0435F4AC5D">
    <w:name w:val="A9C035BE3F0141FA8388CF0435F4AC5D"/>
    <w:rsid w:val="00924F53"/>
    <w:pPr>
      <w:bidi/>
      <w:spacing w:after="0" w:line="240" w:lineRule="auto"/>
    </w:pPr>
    <w:rPr>
      <w:rFonts w:ascii="Times New Roman" w:eastAsia="Times New Roman" w:hAnsi="Times New Roman" w:cs="David"/>
      <w:noProof/>
      <w:sz w:val="24"/>
      <w:szCs w:val="24"/>
    </w:rPr>
  </w:style>
  <w:style w:type="paragraph" w:customStyle="1" w:styleId="31A2FECC5BD94B898A0F6A0393D81C94">
    <w:name w:val="31A2FECC5BD94B898A0F6A0393D81C94"/>
    <w:rsid w:val="00CD521E"/>
    <w:pPr>
      <w:bidi/>
      <w:spacing w:after="0" w:line="240" w:lineRule="auto"/>
    </w:pPr>
    <w:rPr>
      <w:rFonts w:ascii="Times New Roman" w:eastAsia="Times New Roman" w:hAnsi="Times New Roman" w:cs="David"/>
      <w:noProof/>
      <w:sz w:val="24"/>
      <w:szCs w:val="24"/>
    </w:rPr>
  </w:style>
  <w:style w:type="paragraph" w:customStyle="1" w:styleId="31A2FECC5BD94B898A0F6A0393D81C941">
    <w:name w:val="31A2FECC5BD94B898A0F6A0393D81C941"/>
    <w:rsid w:val="005C53BE"/>
    <w:pPr>
      <w:bidi/>
      <w:spacing w:after="0" w:line="240" w:lineRule="auto"/>
    </w:pPr>
    <w:rPr>
      <w:rFonts w:ascii="Times New Roman" w:eastAsia="Times New Roman" w:hAnsi="Times New Roman" w:cs="David"/>
      <w:noProof/>
      <w:sz w:val="24"/>
      <w:szCs w:val="24"/>
    </w:rPr>
  </w:style>
  <w:style w:type="paragraph" w:customStyle="1" w:styleId="31A2FECC5BD94B898A0F6A0393D81C942">
    <w:name w:val="31A2FECC5BD94B898A0F6A0393D81C942"/>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3">
    <w:name w:val="31A2FECC5BD94B898A0F6A0393D81C943"/>
    <w:rsid w:val="00CB2C2C"/>
    <w:pPr>
      <w:bidi/>
      <w:spacing w:after="0" w:line="240" w:lineRule="auto"/>
    </w:pPr>
    <w:rPr>
      <w:rFonts w:ascii="Times New Roman" w:eastAsia="Times New Roman" w:hAnsi="Times New Roman" w:cs="David"/>
      <w:noProof/>
      <w:sz w:val="24"/>
      <w:szCs w:val="24"/>
    </w:rPr>
  </w:style>
  <w:style w:type="paragraph" w:customStyle="1" w:styleId="31A2FECC5BD94B898A0F6A0393D81C944">
    <w:name w:val="31A2FECC5BD94B898A0F6A0393D81C944"/>
    <w:rsid w:val="008A1B90"/>
    <w:pPr>
      <w:bidi/>
      <w:spacing w:after="0" w:line="240" w:lineRule="auto"/>
    </w:pPr>
    <w:rPr>
      <w:rFonts w:ascii="Times New Roman" w:eastAsia="Times New Roman" w:hAnsi="Times New Roman" w:cs="David"/>
      <w:noProof/>
      <w:sz w:val="24"/>
      <w:szCs w:val="24"/>
    </w:rPr>
  </w:style>
  <w:style w:type="paragraph" w:customStyle="1" w:styleId="31A2FECC5BD94B898A0F6A0393D81C945">
    <w:name w:val="31A2FECC5BD94B898A0F6A0393D81C945"/>
    <w:rsid w:val="00410E40"/>
    <w:pPr>
      <w:bidi/>
      <w:spacing w:after="0" w:line="240" w:lineRule="auto"/>
    </w:pPr>
    <w:rPr>
      <w:rFonts w:ascii="Times New Roman" w:eastAsia="Times New Roman" w:hAnsi="Times New Roman" w:cs="David"/>
      <w:noProof/>
      <w:sz w:val="24"/>
      <w:szCs w:val="24"/>
    </w:rPr>
  </w:style>
  <w:style w:type="paragraph" w:customStyle="1" w:styleId="31A2FECC5BD94B898A0F6A0393D81C946">
    <w:name w:val="31A2FECC5BD94B898A0F6A0393D81C946"/>
    <w:rsid w:val="001A370D"/>
    <w:pPr>
      <w:bidi/>
      <w:spacing w:after="0" w:line="240" w:lineRule="auto"/>
    </w:pPr>
    <w:rPr>
      <w:rFonts w:ascii="Times New Roman" w:eastAsia="Times New Roman" w:hAnsi="Times New Roman" w:cs="David"/>
      <w:noProof/>
      <w:sz w:val="24"/>
      <w:szCs w:val="24"/>
    </w:rPr>
  </w:style>
  <w:style w:type="paragraph" w:customStyle="1" w:styleId="31A2FECC5BD94B898A0F6A0393D81C947">
    <w:name w:val="31A2FECC5BD94B898A0F6A0393D81C947"/>
    <w:rsid w:val="00B23F4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אליעזר גריסרו</FullName>
        <FirstName>אליעזר</FirstName>
        <LastName>גריסרו</LastName>
        <PartyPropertyName/>
        <AuthenticationTypeAndNumber>מ.ר. 22352</AuthenticationTypeAndNumber>
        <RepresentatedOrRepresentativesNames>מורן גדליהו</RepresentatedOrRepresentativesNames>
        <RepresentatedOrRepresentativesCount>1</RepresentatedOrRepresentativesCount>
        <InvitedBy/>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259412485</CasePartyID>
        <PartyTypeID>2</PartyTypeID>
        <ActivityStatusID>1</ActivityStatusID>
        <PartyAliasID>22</PartyAliasID>
        <PartyAliasName>בא כוח מבקשים</PartyAliasName>
        <OrdinalNumber>1</OrdinalNumber>
        <LegalEntityID>380653</LegalEntityID>
        <CaseLegalEntityID>125541391</CaseLegalEntityID>
        <AuthenticationTypeID>4</AuthenticationTypeID>
        <AuthenticationTypeName>מ.ר.</AuthenticationTypeName>
        <LegalEntityNumber>22352</LegalEntityNumber>
        <IsMainPartyType>true</IsMainPartyType>
        <CaseDisplayIdentifier>27878-08-23</CaseDisplayIdentifier>
        <CaseTypeID>10074</CaseTypeID>
        <CaseTypeName>רשות ערעור משפחה (רמ"ש)</CaseTypeName>
        <CaseName>גדליהו נ' גדליהו</CaseName>
        <FullAddress>שדרות נים 2 ראשון לציון </FullAddress>
        <EmailAddress>office@gmelaw.biz</EmailAddress>
        <MotionID>0</MotionID>
        <CasePleaID>0</CasePleaID>
        <FatherName xml:space="preserve">        </FatherName>
        <LinkedCaseID>0</LinkedCaseID>
        <PartyID>1</PartyID>
        <CasePartyCategoryID>2</CasePartyCategoryID>
        <LegalEntityAddressID>81155138</LegalEntityAddressID>
        <LegalEntityEmailAddressID>68063707</LegalEntityEmailAddressID>
        <PleaTypeID>5</PleaTypeID>
        <LawyerOfficeName>משרד עו"ד:גריסרו, מסורי, אלימלך ושות'</LawyerOfficeName>
        <LawyerOfficeID>421297</LawyerOfficeID>
        <GroupPartyAlias/>
        <IsConverted>false</IsConverted>
        <LegalEntityNameID>1637</LegalEntityNameID>
        <RepresentatedNamesOfAssistant/>
        <LegalEntityTypeID>4</LegalEntityTypeID>
        <IsVerdictExists>false</IsVerdictExists>
        <IsAsirAzir>false</IsAsirAzir>
        <IsPublicationProhibited>false</IsPublicationProhibited>
        <PublicationProhibitedFullName>אליעזר גריסרו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מורן גדליהו</FullName>
        <FirstName>מורן</FirstName>
        <LastName>גדליהו</LastName>
        <PartyPropertyName/>
        <AuthenticationTypeAndNumber>ת"ז 053051900</AuthenticationTypeAndNumber>
        <RepresentatedOrRepresentativesNames>אליעזר גריסרו</RepresentatedOrRepresentativesNames>
        <RepresentatedOrRepresentativesCount>1</RepresentatedOrRepresentativesCount>
        <InvitedBy/>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259412483</CasePartyID>
        <PartyTypeID>1</PartyTypeID>
        <ActivityStatusID>1</ActivityStatusID>
        <PartyAliasID>3</PartyAliasID>
        <PartyAliasName>מבקש</PartyAliasName>
        <OrdinalNumber>1</OrdinalNumber>
        <LegalEntityID>79849313</LegalEntityID>
        <CaseLegalEntityID>125541389</CaseLegalEntityID>
        <AuthenticationTypeID>1</AuthenticationTypeID>
        <AuthenticationTypeName>ת"ז</AuthenticationTypeName>
        <LegalEntityNumber>053051900</LegalEntityNumber>
        <IsMainPartyType>true</IsMainPartyType>
        <CaseDisplayIdentifier>27878-08-23</CaseDisplayIdentifier>
        <CaseTypeID>10074</CaseTypeID>
        <CaseTypeName>רשות ערעור משפחה (רמ"ש)</CaseTypeName>
        <CaseName>גדליהו נ' גדליהו</CaseName>
        <FullAddress>ביאליק 55 א' רמת השרון </FullAddress>
        <MotionID>0</MotionID>
        <CasePleaID>0</CasePleaID>
        <FatherName>אורי</FatherName>
        <LinkedCaseID>0</LinkedCaseID>
        <PartyID>1</PartyID>
        <CasePartyCategoryID>2</CasePartyCategoryID>
        <LegalEntityAddressID>85917413</LegalEntityAddressID>
        <PleaTypeID>5</PleaTypeID>
        <GroupPartyAlias>מבקשים</GroupPartyAlias>
        <IsConverted>false</IsConverted>
        <LegalEntityRegisteredNameID>9564851</LegalEntityRegisteredNameID>
        <LegalEntityNameID>92351066</LegalEntityNameID>
        <RepresentatedNamesOfAssistant/>
        <LegalEntityTypeID>1</LegalEntityTypeID>
        <IsVerdictExists>false</IsVerdictExists>
        <IsAsirAzir>false</IsAsirAzir>
        <IsPublicationProhibited>false</IsPublicationProhibited>
        <PublicationProhibitedFullName>מורן גדליהו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צביאל גדליהו</FullName>
        <FirstName>צביאל</FirstName>
        <LastName>גדליהו</LastName>
        <PartyPropertyName/>
        <AuthenticationTypeAndNumber>ת"ז 043197623</AuthenticationTypeAndNumber>
        <RepresentatedOrRepresentativesNames/>
        <RepresentatedOrRepresentativesCount>0</RepresentatedOrRepresentativesCount>
        <InvitedBy/>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259412484</CasePartyID>
        <PartyTypeID>1</PartyTypeID>
        <ActivityStatusID>1</ActivityStatusID>
        <PartyAliasID>4</PartyAliasID>
        <PartyAliasName>משיב</PartyAliasName>
        <OrdinalNumber>1</OrdinalNumber>
        <LegalEntityID>70482407</LegalEntityID>
        <CaseLegalEntityID>125541390</CaseLegalEntityID>
        <AuthenticationTypeID>1</AuthenticationTypeID>
        <AuthenticationTypeName>ת"ז</AuthenticationTypeName>
        <LegalEntityNumber>043197623</LegalEntityNumber>
        <IsMainPartyType>true</IsMainPartyType>
        <CaseDisplayIdentifier>27878-08-23</CaseDisplayIdentifier>
        <CaseTypeID>10074</CaseTypeID>
        <CaseTypeName>רשות ערעור משפחה (רמ"ש)</CaseTypeName>
        <CaseName>גדליהו נ' גדליהו</CaseName>
        <FullAddress>גדעון 11/30 רמת השרון </FullAddress>
        <MotionID>0</MotionID>
        <CasePleaID>0</CasePleaID>
        <FatherName>חיים</FatherName>
        <LinkedCaseID>0</LinkedCaseID>
        <PartyID>2</PartyID>
        <CasePartyCategoryID>2</CasePartyCategoryID>
        <LegalEntityAddressID>85917414</LegalEntityAddressID>
        <PleaTypeID>5</PleaTypeID>
        <GroupPartyAlias>משיבים</GroupPartyAlias>
        <IsConverted>false</IsConverted>
        <LegalEntityRegisteredNameID>2673850</LegalEntityRegisteredNameID>
        <LegalEntityNameID>92351067</LegalEntityNameID>
        <RepresentatedNamesOfAssistant/>
        <LegalEntityTypeID>1</LegalEntityTypeID>
        <IsVerdictExists>false</IsVerdictExists>
        <IsAsirAzir>false</IsAsirAzir>
        <IsPublicationProhibited>false</IsPublicationProhibited>
        <PublicationProhibitedFullName>צביאל גדליהו</PublicationProhibitedFullName>
      </CaseParties>
    </CasePartiesSelectionDS>
    <DecisionName>החלטה  שניתנה ע"י  שאול שוחט</DecisionName>
    <CourtDisplayName>בית המשפט המחוזי בתל אביב -יפו</CourtDisplayName>
    <IsCaseJudgePanel>false</IsCaseJudgePanel>
    <DecisionSignatureDate>2023-08-17T15:34:17.4494656+03:00</DecisionSignatureDate>
    <OpenCaseDate>2023-08-10T11:53:00+03:00</OpenCaseDate>
    <CaseFeeSum>0.000</CaseFeeSum>
    <DecisionTypeID>1</DecisionTypeID>
    <DecisionSignatureUserName>שאול שוחט</DecisionSignatureUserName>
    <DecisionSignatureDateHebrew>2023-08-17T15:34:17.4494656+03:00</DecisionSignatureDateHebrew>
    <DecisionWriterID>053515011@GOV.IL</DecisionWriterID>
    <CourtAddress>רח' ויצמן  1 היכל המשפט, תל אביב -יפו 64239</CourtAddress>
    <IsAutoTextInCaseExist>false</IsAutoTextInCaseExist>
    <DecisionSignatureRoleName>שופט</DecisionSignatureRoleName>
    <DecisionSignatureUserTitleName>שופט, סגן הנשיא</DecisionSignatureUserTitleName>
    <CaseName>גדליהו נ' גדליהו</CaseName>
    <DecisionNumberInCase>1</DecisionNumberInCase>
  </dt_Decision>
  <dt_DecisionCase>
    <DecisionID>0</DecisionID>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אליעזר גריסרו</FullName>
        <FirstName>אליעזר</FirstName>
        <LastName>גריסרו</LastName>
        <PartyPropertyName/>
        <AuthenticationTypeAndNumber>מ.ר. 22352</AuthenticationTypeAndNumber>
        <RepresentatedOrRepresentativesNames>מורן גדליהו</RepresentatedOrRepresentativesNames>
        <RepresentatedOrRepresentativesCount>1</RepresentatedOrRepresentativesCount>
        <InvitedBy/>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259412485</CasePartyID>
        <PartyTypeID>2</PartyTypeID>
        <ActivityStatusID>1</ActivityStatusID>
        <PartyAliasID>22</PartyAliasID>
        <PartyAliasName>בא כוח מבקשים</PartyAliasName>
        <OrdinalNumber>1</OrdinalNumber>
        <LegalEntityID>380653</LegalEntityID>
        <CaseLegalEntityID>125541391</CaseLegalEntityID>
        <AuthenticationTypeID>4</AuthenticationTypeID>
        <AuthenticationTypeName>מ.ר.</AuthenticationTypeName>
        <LegalEntityNumber>22352</LegalEntityNumber>
        <IsMainPartyType>true</IsMainPartyType>
        <CaseDisplayIdentifier>27878-08-23</CaseDisplayIdentifier>
        <CaseTypeID>10074</CaseTypeID>
        <CaseTypeName>רשות ערעור משפחה (רמ"ש)</CaseTypeName>
        <CaseName>גדליהו נ' גדליהו</CaseName>
        <FullAddress>שדרות נים 2 ראשון לציון </FullAddress>
        <EmailAddress>office@gmelaw.biz</EmailAddress>
        <MotionID>0</MotionID>
        <CasePleaID>0</CasePleaID>
        <FatherName xml:space="preserve">        </FatherName>
        <LinkedCaseID>0</LinkedCaseID>
        <PartyID>1</PartyID>
        <CasePartyCategoryID>2</CasePartyCategoryID>
        <LegalEntityAddressID>81155138</LegalEntityAddressID>
        <LegalEntityEmailAddressID>68063707</LegalEntityEmailAddressID>
        <PleaTypeID>5</PleaTypeID>
        <LawyerOfficeName>משרד עו"ד:גריסרו, מסורי, אלימלך ושות'</LawyerOfficeName>
        <LawyerOfficeID>421297</LawyerOfficeID>
        <GroupPartyAlias/>
        <IsConverted>false</IsConverted>
        <LegalEntityNameID>1637</LegalEntityNameID>
        <RepresentatedNamesOfAssistant/>
        <LegalEntityTypeID>4</LegalEntityTypeID>
        <IsVerdictExists>false</IsVerdictExists>
        <IsAsirAzir>false</IsAsirAzir>
        <IsPublicationProhibited>false</IsPublicationProhibited>
        <PublicationProhibitedFullName>אליעזר גריסרו</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מורן גדליהו</FullName>
        <FirstName>מורן</FirstName>
        <LastName>גדליהו</LastName>
        <PartyPropertyName/>
        <AuthenticationTypeAndNumber>ת"ז 053051900</AuthenticationTypeAndNumber>
        <RepresentatedOrRepresentativesNames>אליעזר גריסרו</RepresentatedOrRepresentativesNames>
        <RepresentatedOrRepresentativesCount>1</RepresentatedOrRepresentativesCount>
        <InvitedBy/>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259412483</CasePartyID>
        <PartyTypeID>1</PartyTypeID>
        <ActivityStatusID>1</ActivityStatusID>
        <PartyAliasID>3</PartyAliasID>
        <PartyAliasName>מבקש</PartyAliasName>
        <OrdinalNumber>1</OrdinalNumber>
        <LegalEntityID>79849313</LegalEntityID>
        <CaseLegalEntityID>125541389</CaseLegalEntityID>
        <AuthenticationTypeID>1</AuthenticationTypeID>
        <AuthenticationTypeName>ת"ז</AuthenticationTypeName>
        <LegalEntityNumber>053051900</LegalEntityNumber>
        <IsMainPartyType>true</IsMainPartyType>
        <CaseDisplayIdentifier>27878-08-23</CaseDisplayIdentifier>
        <CaseTypeID>10074</CaseTypeID>
        <CaseTypeName>רשות ערעור משפחה (רמ"ש)</CaseTypeName>
        <CaseName>גדליהו נ' גדליהו</CaseName>
        <FullAddress>ביאליק 55 א' רמת השרון </FullAddress>
        <MotionID>0</MotionID>
        <CasePleaID>0</CasePleaID>
        <FatherName>אורי</FatherName>
        <LinkedCaseID>0</LinkedCaseID>
        <PartyID>1</PartyID>
        <CasePartyCategoryID>2</CasePartyCategoryID>
        <LegalEntityAddressID>85917413</LegalEntityAddressID>
        <PleaTypeID>5</PleaTypeID>
        <GroupPartyAlias>מבקשים</GroupPartyAlias>
        <IsConverted>false</IsConverted>
        <LegalEntityRegisteredNameID>9564851</LegalEntityRegisteredNameID>
        <LegalEntityNameID>92351066</LegalEntityNameID>
        <RepresentatedNamesOfAssistant/>
        <LegalEntityTypeID>1</LegalEntityTypeID>
        <IsVerdictExists>false</IsVerdictExists>
        <IsAsirAzir>false</IsAsirAzir>
        <IsPublicationProhibited>false</IsPublicationProhibited>
        <PublicationProhibitedFullName>מורן גדליהו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צביאל גדליהו</FullName>
        <FirstName>צביאל</FirstName>
        <LastName>גדליהו</LastName>
        <PartyPropertyName/>
        <AuthenticationTypeAndNumber>ת"ז 043197623</AuthenticationTypeAndNumber>
        <RepresentatedOrRepresentativesNames/>
        <RepresentatedOrRepresentativesCount>0</RepresentatedOrRepresentativesCount>
        <InvitedBy/>
        <CaseID>80512838</CaseID>
        <CaseJudicialPersonPresentationDS>
          <CaseJudicalPersonActive>
            <CaseID>80512838</CaseID>
            <JudicialPersonID>053515011@GOV.IL</JudicialPersonID>
            <JudicialPersonTypeID>1</JudicialPersonTypeID>
            <JudicialTypeID>1</JudicialTypeID>
            <IsChairman>false</IsChairman>
            <TreatmentStartDate>2023-08-15T12:55:47.083+03:00</TreatmentStartDate>
            <TreatmentFinishDate>9999-12-31T23:59:59.997+02:00</TreatmentFinishDate>
            <IdentificationCardNumber>053515011</IdentificationCardNumber>
            <DisplayName>שאול שוחט</DisplayName>
            <JudicialTypeName>שופט</JudicialTypeName>
            <CaseJudicialGroupNumber>0</CaseJudicialGroupNumber>
            <FirstName>שאול</FirstName>
            <LastName>שוחט</LastName>
            <JudicialPersonTitle>שופט</JudicialPersonTitle>
          </CaseJudicalPersonActive>
        </CaseJudicialPersonPresentationDS>
        <CasePartyID>259412484</CasePartyID>
        <PartyTypeID>1</PartyTypeID>
        <ActivityStatusID>1</ActivityStatusID>
        <PartyAliasID>4</PartyAliasID>
        <PartyAliasName>משיב</PartyAliasName>
        <OrdinalNumber>1</OrdinalNumber>
        <LegalEntityID>70482407</LegalEntityID>
        <CaseLegalEntityID>125541390</CaseLegalEntityID>
        <AuthenticationTypeID>1</AuthenticationTypeID>
        <AuthenticationTypeName>ת"ז</AuthenticationTypeName>
        <LegalEntityNumber>043197623</LegalEntityNumber>
        <IsMainPartyType>true</IsMainPartyType>
        <CaseDisplayIdentifier>27878-08-23</CaseDisplayIdentifier>
        <CaseTypeID>10074</CaseTypeID>
        <CaseTypeName>רשות ערעור משפחה (רמ"ש)</CaseTypeName>
        <CaseName>גדליהו נ' גדליהו</CaseName>
        <FullAddress>גדעון 11/30 רמת השרון </FullAddress>
        <MotionID>0</MotionID>
        <CasePleaID>0</CasePleaID>
        <FatherName>חיים</FatherName>
        <LinkedCaseID>0</LinkedCaseID>
        <PartyID>2</PartyID>
        <CasePartyCategoryID>2</CasePartyCategoryID>
        <LegalEntityAddressID>85917414</LegalEntityAddressID>
        <PleaTypeID>5</PleaTypeID>
        <GroupPartyAlias>משיבים</GroupPartyAlias>
        <IsConverted>false</IsConverted>
        <LegalEntityRegisteredNameID>2673850</LegalEntityRegisteredNameID>
        <LegalEntityNameID>92351067</LegalEntityNameID>
        <RepresentatedNamesOfAssistant/>
        <LegalEntityTypeID>1</LegalEntityTypeID>
        <IsVerdictExists>false</IsVerdictExists>
        <IsAsirAzir>false</IsAsirAzir>
        <IsPublicationProhibited>false</IsPublicationProhibited>
        <PublicationProhibitedFullName>צביאל גדליהו</PublicationProhibitedFullName>
      </CaseParties>
    </CasePartiesSelectionDS>
    <CaseName>גדליהו נ' גדליהו</CaseName>
    <CaseDisplayIdentifier>27878-08-23</CaseDisplayIdentifier>
    <CaseInterestID>101</CaseInterestID>
    <CaseTypeShortName>רמ"ש</CaseTypeShortName>
  </dt_DecisionCase>
  <dt_DecisionJudgePanel>
    <JudgeID>053515011@GOV.IL</JudgeID>
    <DisplayName>שאול שוחט</DisplayName>
    <RoleName>שופט</RoleName>
    <UserTitleName>שופט, סגן הנשיא</UserTitleName>
  </dt_DecisionJudgePanel>
  <dt_LegalEntityDetails>
    <PartyID>1</PartyID>
    <PartyTypeID>1</PartyTypeID>
    <DecisionID>0</DecisionID>
    <StreetName>ביאליק 55 א'</StreetName>
    <CityName>רמת השרון</CityName>
    <FullName>מורן גדליהו</FullName>
    <IsPublicationProhibited>false</IsPublicationProhibited>
  </dt_LegalEntityDetails>
  <dt_LegalEntityDetails>
    <PartyID>2</PartyID>
    <PartyTypeID>1</PartyTypeID>
    <DecisionID>0</DecisionID>
    <StreetName>גדעון 11/30</StreetName>
    <CityName>רמת השרון</CityName>
    <FullName>צביאל גדליהו</FullName>
    <IsPublicationProhibited>false</IsPublicationProhibited>
  </dt_LegalEntityDetails>
  <dt_LegalEntityDetails>
    <Fax>077-5558090</Fax>
    <Phone>03-9653140</Phone>
    <PartyID>1</PartyID>
    <PartyTypeID>2</PartyTypeID>
    <DecisionID>0</DecisionID>
    <StreetName>שדרות נים 2</StreetName>
    <ZipCode>7546302</ZipCode>
    <CityName>ראשון לציון</CityName>
    <FullName>אליעזר גריסרו</FullName>
    <Email>office@gmelaw.biz</Email>
    <IsPublicationProhibited>false</IsPublicationProhibited>
  </dt_LegalEntityDetails>
  <dt_CaseJudicalPersonActive>
    <CaseJudicalPerson>שופט, סגן הנשיא שאול שוחט</CaseJudicalPerson>
  </dt_CaseJudicalPersonActive>
  <dt_Sitting/>
</DecisionTemplateDS>
</file>

<file path=customXml/itemProps1.xml><?xml version="1.0" encoding="utf-8"?>
<ds:datastoreItem xmlns:ds="http://schemas.openxmlformats.org/officeDocument/2006/customXml" ds:itemID="{BCBE203D-706C-4981-A676-B59CA5A6626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1037</Words>
  <Characters>5031</Characters>
  <Application>Microsoft Office Word</Application>
  <DocSecurity>4</DocSecurity>
  <Lines>122</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2023-08-20T12:15:00Z</dcterms:created>
  <dcterms:modified xsi:type="dcterms:W3CDTF">2023-08-20T12:15:00Z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961a9385757f5d96401171acacc3fe668b5226534008c62c0efe024dbd52f0bb</vt:lpwstr>
  </property>
</Properties>
</file>